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Complete Solutions for Accounting Exam Paper (Q11–Q19)</w:t>
      </w:r>
    </w:p>
    <w:p>
      <w:pPr>
        <w:pStyle w:val="Heading1"/>
      </w:pPr>
      <w:r>
        <w:t>Question 11</w:t>
      </w:r>
    </w:p>
    <w:p>
      <w:r>
        <w:t>The following ratios are calculated based on provided values: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Ratio</w:t>
            </w:r>
          </w:p>
        </w:tc>
        <w:tc>
          <w:tcPr>
            <w:tcW w:type="dxa" w:w="2880"/>
          </w:tcPr>
          <w:p>
            <w:r>
              <w:t>Formula / Working</w:t>
            </w:r>
          </w:p>
        </w:tc>
        <w:tc>
          <w:tcPr>
            <w:tcW w:type="dxa" w:w="2880"/>
          </w:tcPr>
          <w:p>
            <w:r>
              <w:t>Result</w:t>
            </w:r>
          </w:p>
        </w:tc>
      </w:tr>
      <w:tr>
        <w:tc>
          <w:tcPr>
            <w:tcW w:type="dxa" w:w="2880"/>
          </w:tcPr>
          <w:p>
            <w:r>
              <w:t>a. Net Profit after Tax</w:t>
            </w:r>
          </w:p>
        </w:tc>
        <w:tc>
          <w:tcPr>
            <w:tcW w:type="dxa" w:w="2880"/>
          </w:tcPr>
          <w:p>
            <w:r>
              <w:t>Operating Profit - Tax (100,000 - 25%)</w:t>
            </w:r>
          </w:p>
        </w:tc>
        <w:tc>
          <w:tcPr>
            <w:tcW w:type="dxa" w:w="2880"/>
          </w:tcPr>
          <w:p>
            <w:r>
              <w:t>75,000</w:t>
            </w:r>
          </w:p>
        </w:tc>
      </w:tr>
      <w:tr>
        <w:tc>
          <w:tcPr>
            <w:tcW w:type="dxa" w:w="2880"/>
          </w:tcPr>
          <w:p>
            <w:r>
              <w:t>b. Liquid Ratio</w:t>
            </w:r>
          </w:p>
        </w:tc>
        <w:tc>
          <w:tcPr>
            <w:tcW w:type="dxa" w:w="2880"/>
          </w:tcPr>
          <w:p>
            <w:r>
              <w:t>Liquid Assets / Current Liabilities = 200,000 / 200,000</w:t>
            </w:r>
          </w:p>
        </w:tc>
        <w:tc>
          <w:tcPr>
            <w:tcW w:type="dxa" w:w="2880"/>
          </w:tcPr>
          <w:p>
            <w:r>
              <w:t>1:1</w:t>
            </w:r>
          </w:p>
        </w:tc>
      </w:tr>
      <w:tr>
        <w:tc>
          <w:tcPr>
            <w:tcW w:type="dxa" w:w="2880"/>
          </w:tcPr>
          <w:p>
            <w:r>
              <w:t>c. Debt Equity Ratio</w:t>
            </w:r>
          </w:p>
        </w:tc>
        <w:tc>
          <w:tcPr>
            <w:tcW w:type="dxa" w:w="2880"/>
          </w:tcPr>
          <w:p>
            <w:r>
              <w:t>Debentures / (Capital Employed - Debentures) = 400,000 / 600,000</w:t>
            </w:r>
          </w:p>
        </w:tc>
        <w:tc>
          <w:tcPr>
            <w:tcW w:type="dxa" w:w="2880"/>
          </w:tcPr>
          <w:p>
            <w:r>
              <w:t>2:3</w:t>
            </w:r>
          </w:p>
        </w:tc>
      </w:tr>
      <w:tr>
        <w:tc>
          <w:tcPr>
            <w:tcW w:type="dxa" w:w="2880"/>
          </w:tcPr>
          <w:p>
            <w:r>
              <w:t>d. Stock Turnover</w:t>
            </w:r>
          </w:p>
        </w:tc>
        <w:tc>
          <w:tcPr>
            <w:tcW w:type="dxa" w:w="2880"/>
          </w:tcPr>
          <w:p>
            <w:r>
              <w:t>COGS / Avg Inventory = 900,000 / 300,000</w:t>
            </w:r>
          </w:p>
        </w:tc>
        <w:tc>
          <w:tcPr>
            <w:tcW w:type="dxa" w:w="2880"/>
          </w:tcPr>
          <w:p>
            <w:r>
              <w:t>3 Times</w:t>
            </w:r>
          </w:p>
        </w:tc>
      </w:tr>
      <w:tr>
        <w:tc>
          <w:tcPr>
            <w:tcW w:type="dxa" w:w="2880"/>
          </w:tcPr>
          <w:p>
            <w:r>
              <w:t>f. ROE</w:t>
            </w:r>
          </w:p>
        </w:tc>
        <w:tc>
          <w:tcPr>
            <w:tcW w:type="dxa" w:w="2880"/>
          </w:tcPr>
          <w:p>
            <w:r>
              <w:t>Net Profit / Equity = 75,000 / 600,000 × 100</w:t>
            </w:r>
          </w:p>
        </w:tc>
        <w:tc>
          <w:tcPr>
            <w:tcW w:type="dxa" w:w="2880"/>
          </w:tcPr>
          <w:p>
            <w:r>
              <w:t>12.5%</w:t>
            </w:r>
          </w:p>
        </w:tc>
      </w:tr>
      <w:tr>
        <w:tc>
          <w:tcPr>
            <w:tcW w:type="dxa" w:w="2880"/>
          </w:tcPr>
          <w:p>
            <w:r>
              <w:t>g. Net Profit Margin</w:t>
            </w:r>
          </w:p>
        </w:tc>
        <w:tc>
          <w:tcPr>
            <w:tcW w:type="dxa" w:w="2880"/>
          </w:tcPr>
          <w:p>
            <w:r>
              <w:t>Net Profit / Sales = 75,000 / 1,000,000 × 100</w:t>
            </w:r>
          </w:p>
        </w:tc>
        <w:tc>
          <w:tcPr>
            <w:tcW w:type="dxa" w:w="2880"/>
          </w:tcPr>
          <w:p>
            <w:r>
              <w:t>7.5%</w:t>
            </w:r>
          </w:p>
        </w:tc>
      </w:tr>
    </w:tbl>
    <w:p>
      <w:pPr>
        <w:pStyle w:val="Heading1"/>
      </w:pPr>
      <w:r>
        <w:t>Question 12</w:t>
      </w:r>
    </w:p>
    <w:p>
      <w:r>
        <w:t>Weighted Average and FIFO inventory valuation: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Method</w:t>
            </w:r>
          </w:p>
        </w:tc>
        <w:tc>
          <w:tcPr>
            <w:tcW w:type="dxa" w:w="2160"/>
          </w:tcPr>
          <w:p>
            <w:r>
              <w:t>COGS</w:t>
            </w:r>
          </w:p>
        </w:tc>
        <w:tc>
          <w:tcPr>
            <w:tcW w:type="dxa" w:w="2160"/>
          </w:tcPr>
          <w:p>
            <w:r>
              <w:t>Ending Inventory</w:t>
            </w:r>
          </w:p>
        </w:tc>
        <w:tc>
          <w:tcPr>
            <w:tcW w:type="dxa" w:w="2160"/>
          </w:tcPr>
          <w:p>
            <w:r>
              <w:t>Gross Profit</w:t>
            </w:r>
          </w:p>
        </w:tc>
      </w:tr>
      <w:tr>
        <w:tc>
          <w:tcPr>
            <w:tcW w:type="dxa" w:w="2160"/>
          </w:tcPr>
          <w:p>
            <w:r>
              <w:t>Weighted Avg.</w:t>
            </w:r>
          </w:p>
        </w:tc>
        <w:tc>
          <w:tcPr>
            <w:tcW w:type="dxa" w:w="2160"/>
          </w:tcPr>
          <w:p>
            <w:r>
              <w:t>≈2,480</w:t>
            </w:r>
          </w:p>
        </w:tc>
        <w:tc>
          <w:tcPr>
            <w:tcW w:type="dxa" w:w="2160"/>
          </w:tcPr>
          <w:p>
            <w:r>
              <w:t>≈1,290</w:t>
            </w:r>
          </w:p>
        </w:tc>
        <w:tc>
          <w:tcPr>
            <w:tcW w:type="dxa" w:w="2160"/>
          </w:tcPr>
          <w:p>
            <w:r>
              <w:t>≈1,230</w:t>
            </w:r>
          </w:p>
        </w:tc>
      </w:tr>
      <w:tr>
        <w:tc>
          <w:tcPr>
            <w:tcW w:type="dxa" w:w="2160"/>
          </w:tcPr>
          <w:p>
            <w:r>
              <w:t>FIFO</w:t>
            </w:r>
          </w:p>
        </w:tc>
        <w:tc>
          <w:tcPr>
            <w:tcW w:type="dxa" w:w="2160"/>
          </w:tcPr>
          <w:p>
            <w:r>
              <w:t>2,350</w:t>
            </w:r>
          </w:p>
        </w:tc>
        <w:tc>
          <w:tcPr>
            <w:tcW w:type="dxa" w:w="2160"/>
          </w:tcPr>
          <w:p>
            <w:r>
              <w:t>1,420</w:t>
            </w:r>
          </w:p>
        </w:tc>
        <w:tc>
          <w:tcPr>
            <w:tcW w:type="dxa" w:w="2160"/>
          </w:tcPr>
          <w:p>
            <w:r>
              <w:t>1,350</w:t>
            </w:r>
          </w:p>
        </w:tc>
      </w:tr>
    </w:tbl>
    <w:p>
      <w:pPr>
        <w:pStyle w:val="Heading1"/>
      </w:pPr>
      <w:r>
        <w:t>Question 13</w:t>
      </w:r>
    </w:p>
    <w:p>
      <w:r>
        <w:t>Depreciation Fund Investment Account: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Year</w:t>
            </w:r>
          </w:p>
        </w:tc>
        <w:tc>
          <w:tcPr>
            <w:tcW w:type="dxa" w:w="2880"/>
          </w:tcPr>
          <w:p>
            <w:r>
              <w:t>Depreciation (Rs.)</w:t>
            </w:r>
          </w:p>
        </w:tc>
        <w:tc>
          <w:tcPr>
            <w:tcW w:type="dxa" w:w="2880"/>
          </w:tcPr>
          <w:p>
            <w:r>
              <w:t>Investment (Rs.)</w:t>
            </w:r>
          </w:p>
        </w:tc>
      </w:tr>
      <w:tr>
        <w:tc>
          <w:tcPr>
            <w:tcW w:type="dxa" w:w="2880"/>
          </w:tcPr>
          <w:p>
            <w:r>
              <w:t>1st</w:t>
            </w:r>
          </w:p>
        </w:tc>
        <w:tc>
          <w:tcPr>
            <w:tcW w:type="dxa" w:w="2880"/>
          </w:tcPr>
          <w:p>
            <w:r>
              <w:t>50,000</w:t>
            </w:r>
          </w:p>
        </w:tc>
        <w:tc>
          <w:tcPr>
            <w:tcW w:type="dxa" w:w="2880"/>
          </w:tcPr>
          <w:p>
            <w:r>
              <w:t>50,000</w:t>
            </w:r>
          </w:p>
        </w:tc>
      </w:tr>
      <w:tr>
        <w:tc>
          <w:tcPr>
            <w:tcW w:type="dxa" w:w="2880"/>
          </w:tcPr>
          <w:p>
            <w:r>
              <w:t>2nd</w:t>
            </w:r>
          </w:p>
        </w:tc>
        <w:tc>
          <w:tcPr>
            <w:tcW w:type="dxa" w:w="2880"/>
          </w:tcPr>
          <w:p>
            <w:r>
              <w:t>50,000</w:t>
            </w:r>
          </w:p>
        </w:tc>
        <w:tc>
          <w:tcPr>
            <w:tcW w:type="dxa" w:w="2880"/>
          </w:tcPr>
          <w:p>
            <w:r>
              <w:t>50,000</w:t>
            </w:r>
          </w:p>
        </w:tc>
      </w:tr>
      <w:tr>
        <w:tc>
          <w:tcPr>
            <w:tcW w:type="dxa" w:w="2880"/>
          </w:tcPr>
          <w:p>
            <w:r>
              <w:t>3rd</w:t>
            </w:r>
          </w:p>
        </w:tc>
        <w:tc>
          <w:tcPr>
            <w:tcW w:type="dxa" w:w="2880"/>
          </w:tcPr>
          <w:p>
            <w:r>
              <w:t>50,000</w:t>
            </w:r>
          </w:p>
        </w:tc>
        <w:tc>
          <w:tcPr>
            <w:tcW w:type="dxa" w:w="2880"/>
          </w:tcPr>
          <w:p>
            <w:r>
              <w:t>50,000</w:t>
            </w:r>
          </w:p>
        </w:tc>
      </w:tr>
      <w:tr>
        <w:tc>
          <w:tcPr>
            <w:tcW w:type="dxa" w:w="2880"/>
          </w:tcPr>
          <w:p>
            <w:r>
              <w:t>Sale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100,000</w:t>
            </w:r>
          </w:p>
        </w:tc>
      </w:tr>
    </w:tbl>
    <w:p>
      <w:r>
        <w:t>Accounting Standards are guidelines ensuring consistency and comparability of financial reporting.</w:t>
      </w:r>
    </w:p>
    <w:p>
      <w:pPr>
        <w:pStyle w:val="Heading1"/>
      </w:pPr>
      <w:r>
        <w:t>Question 14</w:t>
      </w:r>
    </w:p>
    <w:p>
      <w:r>
        <w:t>Updated Shareholder Equity Summary after all transactions: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Category</w:t>
            </w:r>
          </w:p>
        </w:tc>
        <w:tc>
          <w:tcPr>
            <w:tcW w:type="dxa" w:w="4320"/>
          </w:tcPr>
          <w:p>
            <w:r>
              <w:t>Amount (Rs.)</w:t>
            </w:r>
          </w:p>
        </w:tc>
      </w:tr>
      <w:tr>
        <w:tc>
          <w:tcPr>
            <w:tcW w:type="dxa" w:w="4320"/>
          </w:tcPr>
          <w:p>
            <w:r>
              <w:t>Preferred Stock</w:t>
            </w:r>
          </w:p>
        </w:tc>
        <w:tc>
          <w:tcPr>
            <w:tcW w:type="dxa" w:w="4320"/>
          </w:tcPr>
          <w:p>
            <w:r>
              <w:t>500,000</w:t>
            </w:r>
          </w:p>
        </w:tc>
      </w:tr>
      <w:tr>
        <w:tc>
          <w:tcPr>
            <w:tcW w:type="dxa" w:w="4320"/>
          </w:tcPr>
          <w:p>
            <w:r>
              <w:t>Common Stock (Post Bonus &amp; Split)</w:t>
            </w:r>
          </w:p>
        </w:tc>
        <w:tc>
          <w:tcPr>
            <w:tcW w:type="dxa" w:w="4320"/>
          </w:tcPr>
          <w:p>
            <w:r>
              <w:t>3,000,000</w:t>
            </w:r>
          </w:p>
        </w:tc>
      </w:tr>
      <w:tr>
        <w:tc>
          <w:tcPr>
            <w:tcW w:type="dxa" w:w="4320"/>
          </w:tcPr>
          <w:p>
            <w:r>
              <w:t>APIC - Preferred</w:t>
            </w:r>
          </w:p>
        </w:tc>
        <w:tc>
          <w:tcPr>
            <w:tcW w:type="dxa" w:w="4320"/>
          </w:tcPr>
          <w:p>
            <w:r>
              <w:t>300,000</w:t>
            </w:r>
          </w:p>
        </w:tc>
      </w:tr>
      <w:tr>
        <w:tc>
          <w:tcPr>
            <w:tcW w:type="dxa" w:w="4320"/>
          </w:tcPr>
          <w:p>
            <w:r>
              <w:t>APIC - Common</w:t>
            </w:r>
          </w:p>
        </w:tc>
        <w:tc>
          <w:tcPr>
            <w:tcW w:type="dxa" w:w="4320"/>
          </w:tcPr>
          <w:p>
            <w:r>
              <w:t>1,200,000</w:t>
            </w:r>
          </w:p>
        </w:tc>
      </w:tr>
      <w:tr>
        <w:tc>
          <w:tcPr>
            <w:tcW w:type="dxa" w:w="4320"/>
          </w:tcPr>
          <w:p>
            <w:r>
              <w:t>Retained Earnings (Adjusted)</w:t>
            </w:r>
          </w:p>
        </w:tc>
        <w:tc>
          <w:tcPr>
            <w:tcW w:type="dxa" w:w="4320"/>
          </w:tcPr>
          <w:p>
            <w:r>
              <w:t>1,120,000</w:t>
            </w:r>
          </w:p>
        </w:tc>
      </w:tr>
      <w:tr>
        <w:tc>
          <w:tcPr>
            <w:tcW w:type="dxa" w:w="4320"/>
          </w:tcPr>
          <w:p>
            <w:r>
              <w:t>Total Shareholder's Equity</w:t>
            </w:r>
          </w:p>
        </w:tc>
        <w:tc>
          <w:tcPr>
            <w:tcW w:type="dxa" w:w="4320"/>
          </w:tcPr>
          <w:p>
            <w:r>
              <w:t>6,120,000</w:t>
            </w:r>
          </w:p>
        </w:tc>
      </w:tr>
    </w:tbl>
    <w:p>
      <w:r>
        <w:t>Bonds are fixed income debt instruments with maturity date, interest (coupon), and face value.</w:t>
      </w:r>
    </w:p>
    <w:p>
      <w:pPr>
        <w:pStyle w:val="Heading1"/>
      </w:pPr>
      <w:r>
        <w:t>Question 15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Basis</w:t>
            </w:r>
          </w:p>
        </w:tc>
        <w:tc>
          <w:tcPr>
            <w:tcW w:type="dxa" w:w="2880"/>
          </w:tcPr>
          <w:p>
            <w:r>
              <w:t>Horizontal Analysis</w:t>
            </w:r>
          </w:p>
        </w:tc>
        <w:tc>
          <w:tcPr>
            <w:tcW w:type="dxa" w:w="2880"/>
          </w:tcPr>
          <w:p>
            <w:r>
              <w:t>Vertical Analysis</w:t>
            </w:r>
          </w:p>
        </w:tc>
      </w:tr>
      <w:tr>
        <w:tc>
          <w:tcPr>
            <w:tcW w:type="dxa" w:w="2880"/>
          </w:tcPr>
          <w:p>
            <w:r>
              <w:t>Definition</w:t>
            </w:r>
          </w:p>
        </w:tc>
        <w:tc>
          <w:tcPr>
            <w:tcW w:type="dxa" w:w="2880"/>
          </w:tcPr>
          <w:p>
            <w:r>
              <w:t>Compare across years</w:t>
            </w:r>
          </w:p>
        </w:tc>
        <w:tc>
          <w:tcPr>
            <w:tcW w:type="dxa" w:w="2880"/>
          </w:tcPr>
          <w:p>
            <w:r>
              <w:t>All items as % of base item</w:t>
            </w:r>
          </w:p>
        </w:tc>
      </w:tr>
      <w:tr>
        <w:tc>
          <w:tcPr>
            <w:tcW w:type="dxa" w:w="2880"/>
          </w:tcPr>
          <w:p>
            <w:r>
              <w:t>Purpose</w:t>
            </w:r>
          </w:p>
        </w:tc>
        <w:tc>
          <w:tcPr>
            <w:tcW w:type="dxa" w:w="2880"/>
          </w:tcPr>
          <w:p>
            <w:r>
              <w:t>Trend analysis</w:t>
            </w:r>
          </w:p>
        </w:tc>
        <w:tc>
          <w:tcPr>
            <w:tcW w:type="dxa" w:w="2880"/>
          </w:tcPr>
          <w:p>
            <w:r>
              <w:t>Proportion analysis</w:t>
            </w:r>
          </w:p>
        </w:tc>
      </w:tr>
    </w:tbl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Basis</w:t>
            </w:r>
          </w:p>
        </w:tc>
        <w:tc>
          <w:tcPr>
            <w:tcW w:type="dxa" w:w="2880"/>
          </w:tcPr>
          <w:p>
            <w:r>
              <w:t>Account Receivable</w:t>
            </w:r>
          </w:p>
        </w:tc>
        <w:tc>
          <w:tcPr>
            <w:tcW w:type="dxa" w:w="2880"/>
          </w:tcPr>
          <w:p>
            <w:r>
              <w:t>Note Receivable</w:t>
            </w:r>
          </w:p>
        </w:tc>
      </w:tr>
      <w:tr>
        <w:tc>
          <w:tcPr>
            <w:tcW w:type="dxa" w:w="2880"/>
          </w:tcPr>
          <w:p>
            <w:r>
              <w:t>Definition</w:t>
            </w:r>
          </w:p>
        </w:tc>
        <w:tc>
          <w:tcPr>
            <w:tcW w:type="dxa" w:w="2880"/>
          </w:tcPr>
          <w:p>
            <w:r>
              <w:t>Amounts owed by customers</w:t>
            </w:r>
          </w:p>
        </w:tc>
        <w:tc>
          <w:tcPr>
            <w:tcW w:type="dxa" w:w="2880"/>
          </w:tcPr>
          <w:p>
            <w:r>
              <w:t>Written promise to receive payment</w:t>
            </w:r>
          </w:p>
        </w:tc>
      </w:tr>
      <w:tr>
        <w:tc>
          <w:tcPr>
            <w:tcW w:type="dxa" w:w="2880"/>
          </w:tcPr>
          <w:p>
            <w:r>
              <w:t>Legal Status</w:t>
            </w:r>
          </w:p>
        </w:tc>
        <w:tc>
          <w:tcPr>
            <w:tcW w:type="dxa" w:w="2880"/>
          </w:tcPr>
          <w:p>
            <w:r>
              <w:t>Informal</w:t>
            </w:r>
          </w:p>
        </w:tc>
        <w:tc>
          <w:tcPr>
            <w:tcW w:type="dxa" w:w="2880"/>
          </w:tcPr>
          <w:p>
            <w:r>
              <w:t>Formal and legally binding</w:t>
            </w:r>
          </w:p>
        </w:tc>
      </w:tr>
    </w:tbl>
    <w:p>
      <w:pPr>
        <w:pStyle w:val="Heading1"/>
      </w:pPr>
      <w:r>
        <w:t>Question 16</w:t>
      </w:r>
    </w:p>
    <w:p>
      <w:r>
        <w:t>Disclosures include:</w:t>
      </w:r>
    </w:p>
    <w:p>
      <w:pPr>
        <w:pStyle w:val="ListBullet"/>
      </w:pPr>
      <w:r>
        <w:t>- Accounting Policies</w:t>
        <w:br/>
        <w:t>- Key Estimates</w:t>
        <w:br/>
        <w:t>- Financial Instruments</w:t>
        <w:br/>
        <w:t>- Related Parties</w:t>
        <w:br/>
        <w:t>- Segment Reporting</w:t>
        <w:br/>
        <w:t>- Contingent Liabilities</w:t>
      </w:r>
    </w:p>
    <w:p>
      <w:pPr>
        <w:pStyle w:val="Heading1"/>
      </w:pPr>
      <w:r>
        <w:t>Question 17</w:t>
      </w:r>
    </w:p>
    <w:p>
      <w:r>
        <w:t>Sample journal entries and trial balance for Jan transactions.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Date</w:t>
            </w:r>
          </w:p>
        </w:tc>
        <w:tc>
          <w:tcPr>
            <w:tcW w:type="dxa" w:w="2160"/>
          </w:tcPr>
          <w:p>
            <w:r>
              <w:t>Particulars</w:t>
            </w:r>
          </w:p>
        </w:tc>
        <w:tc>
          <w:tcPr>
            <w:tcW w:type="dxa" w:w="2160"/>
          </w:tcPr>
          <w:p>
            <w:r>
              <w:t>Debit</w:t>
            </w:r>
          </w:p>
        </w:tc>
        <w:tc>
          <w:tcPr>
            <w:tcW w:type="dxa" w:w="2160"/>
          </w:tcPr>
          <w:p>
            <w:r>
              <w:t>Credit</w:t>
            </w:r>
          </w:p>
        </w:tc>
      </w:tr>
      <w:tr>
        <w:tc>
          <w:tcPr>
            <w:tcW w:type="dxa" w:w="2160"/>
          </w:tcPr>
          <w:p>
            <w:r>
              <w:t>Jan 2</w:t>
            </w:r>
          </w:p>
        </w:tc>
        <w:tc>
          <w:tcPr>
            <w:tcW w:type="dxa" w:w="2160"/>
          </w:tcPr>
          <w:p>
            <w:r>
              <w:t>Cash A/C Dr.</w:t>
              <w:br/>
              <w:t xml:space="preserve">  To Capital A/C</w:t>
            </w:r>
          </w:p>
        </w:tc>
        <w:tc>
          <w:tcPr>
            <w:tcW w:type="dxa" w:w="2160"/>
          </w:tcPr>
          <w:p>
            <w:r>
              <w:t>300,000</w:t>
            </w:r>
          </w:p>
        </w:tc>
        <w:tc>
          <w:tcPr>
            <w:tcW w:type="dxa" w:w="2160"/>
          </w:tcPr>
          <w:p>
            <w:r>
              <w:t>300,000</w:t>
            </w:r>
          </w:p>
        </w:tc>
      </w:tr>
      <w:tr>
        <w:tc>
          <w:tcPr>
            <w:tcW w:type="dxa" w:w="2160"/>
          </w:tcPr>
          <w:p>
            <w:r>
              <w:t>Jan 10</w:t>
            </w:r>
          </w:p>
        </w:tc>
        <w:tc>
          <w:tcPr>
            <w:tcW w:type="dxa" w:w="2160"/>
          </w:tcPr>
          <w:p>
            <w:r>
              <w:t>Bank A/C Dr.</w:t>
              <w:br/>
              <w:t xml:space="preserve">  To Notes Payable A/C</w:t>
            </w:r>
          </w:p>
        </w:tc>
        <w:tc>
          <w:tcPr>
            <w:tcW w:type="dxa" w:w="2160"/>
          </w:tcPr>
          <w:p>
            <w:r>
              <w:t>50,000</w:t>
            </w:r>
          </w:p>
        </w:tc>
        <w:tc>
          <w:tcPr>
            <w:tcW w:type="dxa" w:w="2160"/>
          </w:tcPr>
          <w:p>
            <w:r>
              <w:t>50,000</w:t>
            </w:r>
          </w:p>
        </w:tc>
      </w:tr>
      <w:tr>
        <w:tc>
          <w:tcPr>
            <w:tcW w:type="dxa" w:w="2160"/>
          </w:tcPr>
          <w:p>
            <w:r>
              <w:t>Jan 19</w:t>
            </w:r>
          </w:p>
        </w:tc>
        <w:tc>
          <w:tcPr>
            <w:tcW w:type="dxa" w:w="2160"/>
          </w:tcPr>
          <w:p>
            <w:r>
              <w:t>Accounts Receivable A/C Dr.</w:t>
              <w:br/>
              <w:t xml:space="preserve">  To Service Revenue A/C</w:t>
            </w:r>
          </w:p>
        </w:tc>
        <w:tc>
          <w:tcPr>
            <w:tcW w:type="dxa" w:w="2160"/>
          </w:tcPr>
          <w:p>
            <w:r>
              <w:t>100,000</w:t>
            </w:r>
          </w:p>
        </w:tc>
        <w:tc>
          <w:tcPr>
            <w:tcW w:type="dxa" w:w="2160"/>
          </w:tcPr>
          <w:p>
            <w:r>
              <w:t>100,000</w:t>
            </w:r>
          </w:p>
        </w:tc>
      </w:tr>
    </w:tbl>
    <w:p>
      <w:pPr>
        <w:pStyle w:val="Heading1"/>
      </w:pPr>
      <w:r>
        <w:t>Question 18</w:t>
      </w:r>
    </w:p>
    <w:p>
      <w:r>
        <w:t>Cash Flow Statement (Direct Method):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Source</w:t>
            </w:r>
          </w:p>
        </w:tc>
        <w:tc>
          <w:tcPr>
            <w:tcW w:type="dxa" w:w="4320"/>
          </w:tcPr>
          <w:p>
            <w:r>
              <w:t>Amount (Rs.)</w:t>
            </w:r>
          </w:p>
        </w:tc>
      </w:tr>
      <w:tr>
        <w:tc>
          <w:tcPr>
            <w:tcW w:type="dxa" w:w="4320"/>
          </w:tcPr>
          <w:p>
            <w:r>
              <w:t>Cash from Customers</w:t>
            </w:r>
          </w:p>
        </w:tc>
        <w:tc>
          <w:tcPr>
            <w:tcW w:type="dxa" w:w="4320"/>
          </w:tcPr>
          <w:p>
            <w:r>
              <w:t>Approx. 990,000</w:t>
            </w:r>
          </w:p>
        </w:tc>
      </w:tr>
      <w:tr>
        <w:tc>
          <w:tcPr>
            <w:tcW w:type="dxa" w:w="4320"/>
          </w:tcPr>
          <w:p>
            <w:r>
              <w:t>Less: Operating Expenses</w:t>
            </w:r>
          </w:p>
        </w:tc>
        <w:tc>
          <w:tcPr>
            <w:tcW w:type="dxa" w:w="4320"/>
          </w:tcPr>
          <w:p>
            <w:r>
              <w:t>277,000</w:t>
            </w:r>
          </w:p>
        </w:tc>
      </w:tr>
      <w:tr>
        <w:tc>
          <w:tcPr>
            <w:tcW w:type="dxa" w:w="4320"/>
          </w:tcPr>
          <w:p>
            <w:r>
              <w:t>Add: Sale of Fixed Assets</w:t>
            </w:r>
          </w:p>
        </w:tc>
        <w:tc>
          <w:tcPr>
            <w:tcW w:type="dxa" w:w="4320"/>
          </w:tcPr>
          <w:p>
            <w:r>
              <w:t>47,000</w:t>
            </w:r>
          </w:p>
        </w:tc>
      </w:tr>
      <w:tr>
        <w:tc>
          <w:tcPr>
            <w:tcW w:type="dxa" w:w="4320"/>
          </w:tcPr>
          <w:p>
            <w:r>
              <w:t>Net Cash Flow</w:t>
            </w:r>
          </w:p>
        </w:tc>
        <w:tc>
          <w:tcPr>
            <w:tcW w:type="dxa" w:w="4320"/>
          </w:tcPr>
          <w:p>
            <w:r>
              <w:t>Approx. 760,000</w:t>
            </w:r>
          </w:p>
        </w:tc>
      </w:tr>
    </w:tbl>
    <w:p>
      <w:pPr>
        <w:pStyle w:val="Heading1"/>
      </w:pPr>
      <w:r>
        <w:t>Question 19</w:t>
      </w:r>
    </w:p>
    <w:p>
      <w:r>
        <w:t>GAAP ensures standard principles are followed in preparing financial statements. It promotes reliability, comparability, and transparency.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